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4"/>
          <w:szCs w:val="32"/>
          <w:lang w:val="en-US" w:eastAsia="zh-CN"/>
        </w:rPr>
      </w:pPr>
      <w:r>
        <w:rPr>
          <w:sz w:val="24"/>
          <w:szCs w:val="32"/>
          <w:lang w:val="en-US" w:eastAsia="zh-CN"/>
        </w:rPr>
      </w:r>
    </w:p>
    <w:p>
      <w:pPr>
        <w:pStyle w:val="Normal"/>
        <w:jc w:val="center"/>
        <w:rPr>
          <w:b/>
          <w:bCs/>
          <w:sz w:val="24"/>
          <w:szCs w:val="32"/>
          <w:lang w:val="en-US" w:eastAsia="zh-CN"/>
        </w:rPr>
      </w:pPr>
      <w:r>
        <w:rPr>
          <w:b/>
          <w:bCs/>
          <w:sz w:val="24"/>
          <w:szCs w:val="32"/>
          <w:lang w:val="en-US" w:eastAsia="zh-CN"/>
        </w:rPr>
        <w:t>检验报告</w:t>
      </w:r>
    </w:p>
    <w:p>
      <w:pPr>
        <w:pStyle w:val="Normal"/>
        <w:jc w:val="center"/>
        <w:rPr>
          <w:b/>
          <w:bCs/>
          <w:sz w:val="24"/>
          <w:szCs w:val="32"/>
          <w:lang w:val="en-US" w:eastAsia="zh-CN"/>
        </w:rPr>
      </w:pPr>
      <w:r>
        <w:rPr>
          <w:b/>
          <w:bCs/>
          <w:sz w:val="24"/>
          <w:szCs w:val="32"/>
          <w:lang w:val="en-US" w:eastAsia="zh-CN"/>
        </w:rPr>
        <w:t>CERTIFICATE OF ANALYSIS</w:t>
      </w:r>
    </w:p>
    <w:p>
      <w:pPr>
        <w:pStyle w:val="Normal"/>
        <w:jc w:val="left"/>
        <w:rPr>
          <w:lang w:val="en-US" w:eastAsia="zh-CN"/>
        </w:rPr>
      </w:pPr>
      <w:r>
        <w:rPr>
          <w:lang w:val="en-US" w:eastAsia="zh-CN"/>
        </w:rPr>
      </w:r>
    </w:p>
    <w:tbl>
      <w:tblPr>
        <w:tblStyle w:val="5"/>
        <w:tblW w:w="85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335"/>
        <w:gridCol w:w="1926"/>
      </w:tblGrid>
      <w:tr>
        <w:trPr/>
        <w:tc>
          <w:tcPr>
            <w:tcW w:w="4260" w:type="dxa"/>
            <w:gridSpan w:val="2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>品名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Product Name</w:t>
            </w:r>
          </w:p>
        </w:tc>
        <w:tc>
          <w:tcPr>
            <w:tcW w:w="4261" w:type="dxa"/>
            <w:gridSpan w:val="2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>茶树油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Tea tree oil</w:t>
            </w:r>
          </w:p>
        </w:tc>
      </w:tr>
      <w:tr>
        <w:trPr/>
        <w:tc>
          <w:tcPr>
            <w:tcW w:w="2130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>批号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Batch Number</w:t>
            </w:r>
          </w:p>
        </w:tc>
        <w:tc>
          <w:tcPr>
            <w:tcW w:w="2130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0"/>
                <w:sz w:val="20"/>
                <w:vertAlign w:val="baseline"/>
                <w:lang w:val="en-US" w:eastAsia="zh-CN"/>
              </w:rPr>
            </w:r>
          </w:p>
          <w:p>
            <w:pPr>
              <w:pStyle w:val="Normal"/>
              <w:suppressAutoHyphens w:val="true"/>
              <w:spacing w:before="0" w:after="0"/>
              <w:ind w:firstLine="210"/>
              <w:jc w:val="both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260302</w:t>
            </w:r>
          </w:p>
        </w:tc>
        <w:tc>
          <w:tcPr>
            <w:tcW w:w="2335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>包装规格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Packing</w:t>
            </w:r>
          </w:p>
        </w:tc>
        <w:tc>
          <w:tcPr>
            <w:tcW w:w="1926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180</w:t>
            </w: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>千克</w:t>
            </w: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/</w:t>
            </w: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>桶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180 KGS/DRUM</w:t>
            </w:r>
          </w:p>
        </w:tc>
      </w:tr>
      <w:tr>
        <w:trPr/>
        <w:tc>
          <w:tcPr>
            <w:tcW w:w="2130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>数量（桶）</w:t>
            </w: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Quantity(Drum)</w:t>
            </w:r>
          </w:p>
        </w:tc>
        <w:tc>
          <w:tcPr>
            <w:tcW w:w="2130" w:type="dxa"/>
            <w:tcBorders/>
          </w:tcPr>
          <w:p>
            <w:pPr>
              <w:pStyle w:val="Normal"/>
              <w:suppressAutoHyphens w:val="true"/>
              <w:spacing w:before="0" w:after="0"/>
              <w:ind w:firstLine="420"/>
              <w:jc w:val="both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0"/>
                <w:sz w:val="20"/>
                <w:vertAlign w:val="baseline"/>
                <w:lang w:val="en-US" w:eastAsia="zh-CN"/>
              </w:rPr>
            </w:r>
          </w:p>
          <w:p>
            <w:pPr>
              <w:pStyle w:val="Normal"/>
              <w:suppressAutoHyphens w:val="true"/>
              <w:spacing w:before="0" w:after="0"/>
              <w:ind w:firstLine="420"/>
              <w:jc w:val="both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335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>重量</w:t>
            </w: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(KG)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Weight(KG)</w:t>
            </w:r>
          </w:p>
        </w:tc>
        <w:tc>
          <w:tcPr>
            <w:tcW w:w="1926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0"/>
                <w:sz w:val="20"/>
                <w:vertAlign w:val="baseline"/>
                <w:lang w:val="en-US" w:eastAsia="zh-CN"/>
              </w:rPr>
            </w:r>
          </w:p>
          <w:p>
            <w:pPr>
              <w:pStyle w:val="Normal"/>
              <w:suppressAutoHyphens w:val="true"/>
              <w:spacing w:before="0" w:after="0"/>
              <w:ind w:firstLine="21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180</w:t>
            </w:r>
          </w:p>
        </w:tc>
      </w:tr>
      <w:tr>
        <w:trPr/>
        <w:tc>
          <w:tcPr>
            <w:tcW w:w="2130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>报告日期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Report Date</w:t>
            </w:r>
          </w:p>
        </w:tc>
        <w:tc>
          <w:tcPr>
            <w:tcW w:w="2130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2026.03.01</w:t>
            </w:r>
          </w:p>
        </w:tc>
        <w:tc>
          <w:tcPr>
            <w:tcW w:w="2335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>有效日期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Expiry Date</w:t>
            </w:r>
          </w:p>
        </w:tc>
        <w:tc>
          <w:tcPr>
            <w:tcW w:w="1926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2028.03.01</w:t>
            </w:r>
          </w:p>
        </w:tc>
      </w:tr>
      <w:tr>
        <w:trPr/>
        <w:tc>
          <w:tcPr>
            <w:tcW w:w="2130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>生产日期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Manufacture Date</w:t>
            </w:r>
          </w:p>
        </w:tc>
        <w:tc>
          <w:tcPr>
            <w:tcW w:w="2130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2026.03.01</w:t>
            </w:r>
          </w:p>
        </w:tc>
        <w:tc>
          <w:tcPr>
            <w:tcW w:w="2335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>检验依据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Testing Standard</w:t>
            </w:r>
          </w:p>
        </w:tc>
        <w:tc>
          <w:tcPr>
            <w:tcW w:w="1926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b w:val="false"/>
                <w:bCs w:val="false"/>
                <w:color w:val="auto"/>
                <w:sz w:val="20"/>
                <w:szCs w:val="20"/>
                <w:lang w:val="en-US" w:eastAsia="zh-CN"/>
              </w:rPr>
              <w:t>GB/T 26514-2011</w:t>
            </w:r>
          </w:p>
        </w:tc>
      </w:tr>
    </w:tbl>
    <w:p>
      <w:pPr>
        <w:pStyle w:val="Normal"/>
        <w:jc w:val="left"/>
        <w:rPr>
          <w:rFonts w:ascii="宋体" w:hAnsi="宋体" w:eastAsia="宋体" w:cs="宋体"/>
          <w:lang w:val="en-US" w:eastAsia="zh-CN"/>
        </w:rPr>
      </w:pPr>
      <w:r>
        <w:rPr>
          <w:rFonts w:eastAsia="宋体" w:cs="宋体" w:ascii="宋体" w:hAnsi="宋体"/>
          <w:lang w:val="en-US" w:eastAsia="zh-CN"/>
        </w:rPr>
      </w:r>
    </w:p>
    <w:tbl>
      <w:tblPr>
        <w:tblStyle w:val="5"/>
        <w:tblW w:w="856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3647"/>
        <w:gridCol w:w="2010"/>
      </w:tblGrid>
      <w:tr>
        <w:trPr/>
        <w:tc>
          <w:tcPr>
            <w:tcW w:w="2909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>项目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Item</w:t>
            </w:r>
          </w:p>
        </w:tc>
        <w:tc>
          <w:tcPr>
            <w:tcW w:w="3647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>规格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Specification</w:t>
            </w:r>
          </w:p>
        </w:tc>
        <w:tc>
          <w:tcPr>
            <w:tcW w:w="2010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>检测结果</w:t>
            </w: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Analytical Result</w:t>
            </w:r>
          </w:p>
        </w:tc>
      </w:tr>
      <w:tr>
        <w:trPr/>
        <w:tc>
          <w:tcPr>
            <w:tcW w:w="2909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Style w:val="Strong"/>
                <w:rFonts w:ascii="宋体" w:hAnsi="宋体" w:eastAsia="宋体" w:cs="宋体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404040"/>
                <w:spacing w:val="0"/>
                <w:sz w:val="22"/>
                <w:szCs w:val="22"/>
                <w:shd w:fill="FFFFFF" w:val="clear"/>
                <w:lang w:val="en-US" w:eastAsia="zh-CN"/>
              </w:rPr>
            </w:pPr>
            <w:r>
              <w:rPr>
                <w:rStyle w:val="Strong"/>
                <w:rFonts w:ascii="宋体" w:hAnsi="宋体" w:cs="宋体"/>
                <w:b w:val="false"/>
                <w:bCs w:val="false"/>
                <w:i w:val="false"/>
                <w:iCs w:val="false"/>
                <w:caps w:val="false"/>
                <w:smallCaps w:val="false"/>
                <w:color w:val="404040"/>
                <w:spacing w:val="0"/>
                <w:sz w:val="22"/>
                <w:szCs w:val="22"/>
                <w:shd w:fill="FFFFFF" w:val="clear"/>
                <w:lang w:val="en-US" w:eastAsia="zh-CN"/>
              </w:rPr>
              <w:t>色状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b w:val="false"/>
                <w:bCs w:val="false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b w:val="false"/>
                <w:bCs w:val="false"/>
                <w:position w:val="0"/>
                <w:sz w:val="21"/>
                <w:sz w:val="21"/>
                <w:vertAlign w:val="baseline"/>
                <w:lang w:val="en-US" w:eastAsia="zh-CN"/>
              </w:rPr>
              <w:t>Description</w:t>
            </w:r>
          </w:p>
        </w:tc>
        <w:tc>
          <w:tcPr>
            <w:tcW w:w="3647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i w:val="false"/>
                <w:i w:val="false"/>
                <w:iCs w:val="false"/>
                <w:caps w:val="false"/>
                <w:smallCaps w:val="false"/>
                <w:color w:val="404040"/>
                <w:spacing w:val="0"/>
                <w:sz w:val="22"/>
                <w:szCs w:val="22"/>
                <w:shd w:fill="FFFFFF" w:val="clear"/>
                <w:lang w:val="en-US" w:eastAsia="zh-CN"/>
              </w:rPr>
            </w:pPr>
            <w:r>
              <w:rPr>
                <w:rFonts w:ascii="宋体" w:hAnsi="宋体" w:cs="宋体"/>
                <w:i w:val="false"/>
                <w:iCs w:val="false"/>
                <w:caps w:val="false"/>
                <w:smallCaps w:val="false"/>
                <w:color w:val="404040"/>
                <w:spacing w:val="0"/>
                <w:sz w:val="22"/>
                <w:szCs w:val="22"/>
                <w:shd w:fill="FFFFFF" w:val="clear"/>
                <w:lang w:val="en-US" w:eastAsia="zh-CN"/>
              </w:rPr>
              <w:t>无色至微黄液体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Colorless to pale yellow liquid</w:t>
            </w:r>
          </w:p>
        </w:tc>
        <w:tc>
          <w:tcPr>
            <w:tcW w:w="2010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>符合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Conformed</w:t>
            </w:r>
          </w:p>
        </w:tc>
      </w:tr>
      <w:tr>
        <w:trPr/>
        <w:tc>
          <w:tcPr>
            <w:tcW w:w="2909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Style w:val="Strong"/>
                <w:rFonts w:ascii="宋体" w:hAnsi="宋体" w:eastAsia="宋体" w:cs="宋体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404040"/>
                <w:spacing w:val="0"/>
                <w:sz w:val="22"/>
                <w:szCs w:val="22"/>
                <w:shd w:fill="FFFFFF" w:val="clear"/>
                <w:lang w:val="en-US" w:eastAsia="zh-CN"/>
              </w:rPr>
            </w:pPr>
            <w:r>
              <w:rPr>
                <w:rStyle w:val="Strong"/>
                <w:rFonts w:ascii="宋体" w:hAnsi="宋体" w:cs="宋体"/>
                <w:b w:val="false"/>
                <w:bCs w:val="false"/>
                <w:i w:val="false"/>
                <w:iCs w:val="false"/>
                <w:caps w:val="false"/>
                <w:smallCaps w:val="false"/>
                <w:color w:val="404040"/>
                <w:spacing w:val="0"/>
                <w:sz w:val="22"/>
                <w:szCs w:val="22"/>
                <w:shd w:fill="FFFFFF" w:val="clear"/>
                <w:lang w:val="en-US" w:eastAsia="zh-CN"/>
              </w:rPr>
              <w:t>香气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b w:val="false"/>
                <w:bCs w:val="false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b w:val="false"/>
                <w:bCs w:val="false"/>
                <w:position w:val="0"/>
                <w:sz w:val="21"/>
                <w:sz w:val="21"/>
                <w:vertAlign w:val="baseline"/>
                <w:lang w:val="en-US" w:eastAsia="zh-CN"/>
              </w:rPr>
              <w:t>Odour</w:t>
            </w:r>
          </w:p>
        </w:tc>
        <w:tc>
          <w:tcPr>
            <w:tcW w:w="3647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i w:val="false"/>
                <w:iCs w:val="false"/>
                <w:caps w:val="false"/>
                <w:smallCaps w:val="false"/>
                <w:color w:val="404040"/>
                <w:spacing w:val="0"/>
                <w:sz w:val="22"/>
                <w:szCs w:val="22"/>
                <w:shd w:fill="FFFFFF" w:val="clear"/>
                <w:lang w:val="en-US" w:eastAsia="zh-CN"/>
              </w:rPr>
              <w:t xml:space="preserve">具有香茅醛的特征香气 </w:t>
            </w: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Citronellal characteristic odour.</w:t>
            </w:r>
          </w:p>
        </w:tc>
        <w:tc>
          <w:tcPr>
            <w:tcW w:w="2010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>符合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Conformed</w:t>
            </w:r>
          </w:p>
        </w:tc>
      </w:tr>
      <w:tr>
        <w:trPr/>
        <w:tc>
          <w:tcPr>
            <w:tcW w:w="2909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>相对密度（</w:t>
            </w: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20/20℃</w:t>
            </w: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>）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Relative density(25/25℃)</w:t>
            </w:r>
          </w:p>
        </w:tc>
        <w:tc>
          <w:tcPr>
            <w:tcW w:w="3647" w:type="dxa"/>
            <w:tcBorders/>
          </w:tcPr>
          <w:p>
            <w:pPr>
              <w:pStyle w:val="Normal"/>
              <w:suppressAutoHyphens w:val="true"/>
              <w:spacing w:lineRule="auto" w:line="360" w:before="0" w:after="0"/>
              <w:jc w:val="center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0.885 ~ 0.906</w:t>
            </w:r>
          </w:p>
        </w:tc>
        <w:tc>
          <w:tcPr>
            <w:tcW w:w="2010" w:type="dxa"/>
            <w:tcBorders/>
          </w:tcPr>
          <w:p>
            <w:pPr>
              <w:pStyle w:val="Normal"/>
              <w:suppressAutoHyphens w:val="true"/>
              <w:spacing w:lineRule="auto" w:line="360" w:before="0" w:after="0"/>
              <w:jc w:val="center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0.8950</w:t>
            </w:r>
          </w:p>
        </w:tc>
      </w:tr>
      <w:tr>
        <w:trPr/>
        <w:tc>
          <w:tcPr>
            <w:tcW w:w="2909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>折光指数（</w:t>
            </w: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20℃</w:t>
            </w: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>）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Refractive index(20℃)</w:t>
            </w:r>
          </w:p>
        </w:tc>
        <w:tc>
          <w:tcPr>
            <w:tcW w:w="3647" w:type="dxa"/>
            <w:tcBorders/>
          </w:tcPr>
          <w:p>
            <w:pPr>
              <w:pStyle w:val="Normal"/>
              <w:suppressAutoHyphens w:val="true"/>
              <w:spacing w:lineRule="auto" w:line="360" w:before="0" w:after="0"/>
              <w:jc w:val="center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1.475~1.482</w:t>
            </w:r>
          </w:p>
        </w:tc>
        <w:tc>
          <w:tcPr>
            <w:tcW w:w="2010" w:type="dxa"/>
            <w:tcBorders/>
          </w:tcPr>
          <w:p>
            <w:pPr>
              <w:pStyle w:val="Normal"/>
              <w:suppressAutoHyphens w:val="true"/>
              <w:spacing w:lineRule="auto" w:line="360" w:before="0" w:after="0"/>
              <w:jc w:val="center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1.4756</w:t>
            </w:r>
          </w:p>
        </w:tc>
      </w:tr>
      <w:tr>
        <w:trPr/>
        <w:tc>
          <w:tcPr>
            <w:tcW w:w="2909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>旋光度（</w:t>
            </w: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20℃)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Optical rotation</w:t>
            </w: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>（</w:t>
            </w: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20℃)</w:t>
            </w:r>
          </w:p>
        </w:tc>
        <w:tc>
          <w:tcPr>
            <w:tcW w:w="3647" w:type="dxa"/>
            <w:tcBorders/>
          </w:tcPr>
          <w:p>
            <w:pPr>
              <w:pStyle w:val="Normal"/>
              <w:suppressAutoHyphens w:val="true"/>
              <w:spacing w:lineRule="auto" w:line="360" w:before="0" w:after="0"/>
              <w:jc w:val="center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+1°~ +15°</w:t>
            </w:r>
          </w:p>
        </w:tc>
        <w:tc>
          <w:tcPr>
            <w:tcW w:w="2010" w:type="dxa"/>
            <w:tcBorders/>
          </w:tcPr>
          <w:p>
            <w:pPr>
              <w:pStyle w:val="Normal"/>
              <w:suppressAutoHyphens w:val="true"/>
              <w:spacing w:lineRule="auto" w:line="360" w:before="0" w:after="0"/>
              <w:jc w:val="center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+3.122</w:t>
            </w:r>
          </w:p>
        </w:tc>
      </w:tr>
      <w:tr>
        <w:trPr/>
        <w:tc>
          <w:tcPr>
            <w:tcW w:w="2909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>松油烯</w:t>
            </w: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-4-</w:t>
            </w: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 xml:space="preserve">醇 </w:t>
            </w: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(GC,%)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terpinen-4-ol (GC,%)</w:t>
            </w:r>
          </w:p>
        </w:tc>
        <w:tc>
          <w:tcPr>
            <w:tcW w:w="3647" w:type="dxa"/>
            <w:tcBorders/>
          </w:tcPr>
          <w:p>
            <w:pPr>
              <w:pStyle w:val="Normal"/>
              <w:suppressAutoHyphens w:val="true"/>
              <w:spacing w:lineRule="auto" w:line="360" w:before="0" w:after="0"/>
              <w:jc w:val="center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Arial" w:ascii="Arial" w:hAnsi="Arial"/>
                <w:position w:val="0"/>
                <w:sz w:val="21"/>
                <w:sz w:val="21"/>
                <w:vertAlign w:val="baseline"/>
                <w:lang w:val="en-US" w:eastAsia="zh-CN"/>
              </w:rPr>
              <w:t>≥</w:t>
            </w: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2010" w:type="dxa"/>
            <w:tcBorders/>
          </w:tcPr>
          <w:p>
            <w:pPr>
              <w:pStyle w:val="Normal"/>
              <w:suppressAutoHyphens w:val="true"/>
              <w:spacing w:lineRule="auto" w:line="360" w:before="0" w:after="0"/>
              <w:jc w:val="center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40.97</w:t>
            </w:r>
          </w:p>
        </w:tc>
      </w:tr>
      <w:tr>
        <w:trPr/>
        <w:tc>
          <w:tcPr>
            <w:tcW w:w="2909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1,8-</w:t>
            </w: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>桉叶素</w:t>
            </w: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(GC,%)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1,8-cineole(GC,%)</w:t>
            </w:r>
          </w:p>
        </w:tc>
        <w:tc>
          <w:tcPr>
            <w:tcW w:w="3647" w:type="dxa"/>
            <w:tcBorders/>
          </w:tcPr>
          <w:p>
            <w:pPr>
              <w:pStyle w:val="Normal"/>
              <w:suppressAutoHyphens w:val="true"/>
              <w:spacing w:lineRule="auto" w:line="360" w:before="0" w:after="0"/>
              <w:jc w:val="center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eastAsia="宋体" w:cs="Arial" w:ascii="Arial" w:hAnsi="Arial"/>
                <w:position w:val="0"/>
                <w:sz w:val="21"/>
                <w:sz w:val="21"/>
                <w:vertAlign w:val="baseline"/>
                <w:lang w:val="en-US" w:eastAsia="zh-CN"/>
              </w:rPr>
              <w:t>≤</w:t>
            </w: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010" w:type="dxa"/>
            <w:tcBorders/>
          </w:tcPr>
          <w:p>
            <w:pPr>
              <w:pStyle w:val="Normal"/>
              <w:suppressAutoHyphens w:val="true"/>
              <w:spacing w:lineRule="auto" w:line="360" w:before="0" w:after="0"/>
              <w:jc w:val="center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2.83</w:t>
            </w:r>
          </w:p>
        </w:tc>
      </w:tr>
      <w:tr>
        <w:trPr/>
        <w:tc>
          <w:tcPr>
            <w:tcW w:w="2909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position w:val="0"/>
                <w:sz w:val="21"/>
                <w:sz w:val="21"/>
                <w:vertAlign w:val="baseline"/>
                <w:lang w:val="en-US" w:eastAsia="zh-CN"/>
              </w:rPr>
              <w:t>结论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Conclusion</w:t>
            </w:r>
          </w:p>
        </w:tc>
        <w:tc>
          <w:tcPr>
            <w:tcW w:w="5657" w:type="dxa"/>
            <w:gridSpan w:val="2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i w:val="false"/>
                <w:i w:val="false"/>
                <w:iCs w:val="false"/>
                <w:caps w:val="false"/>
                <w:smallCaps w:val="false"/>
                <w:color w:val="404040"/>
                <w:spacing w:val="0"/>
                <w:sz w:val="22"/>
                <w:szCs w:val="22"/>
                <w:shd w:fill="FFFFFF" w:val="clear"/>
              </w:rPr>
            </w:pPr>
            <w:r>
              <w:rPr>
                <w:rFonts w:ascii="宋体" w:hAnsi="宋体" w:cs="宋体"/>
                <w:i w:val="false"/>
                <w:iCs w:val="false"/>
                <w:caps w:val="false"/>
                <w:smallCaps w:val="false"/>
                <w:color w:val="404040"/>
                <w:spacing w:val="0"/>
                <w:sz w:val="22"/>
                <w:szCs w:val="22"/>
                <w:shd w:fill="FFFFFF" w:val="clear"/>
              </w:rPr>
              <w:t>检验结果符合</w:t>
            </w: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GB/T 26514-2011</w:t>
            </w:r>
            <w:r>
              <w:rPr>
                <w:rFonts w:ascii="宋体" w:hAnsi="宋体" w:cs="宋体"/>
                <w:i w:val="false"/>
                <w:iCs w:val="false"/>
                <w:caps w:val="false"/>
                <w:smallCaps w:val="false"/>
                <w:color w:val="404040"/>
                <w:spacing w:val="0"/>
                <w:sz w:val="22"/>
                <w:szCs w:val="22"/>
                <w:shd w:fill="FFFFFF" w:val="clear"/>
              </w:rPr>
              <w:t>规定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宋体" w:hAnsi="宋体" w:eastAsia="宋体" w:cs="宋体"/>
                <w:position w:val="0"/>
                <w:sz w:val="20"/>
                <w:sz w:val="20"/>
                <w:vertAlign w:val="baseline"/>
                <w:lang w:val="en-US" w:eastAsia="zh-CN"/>
              </w:rPr>
            </w:pPr>
            <w:r>
              <w:rPr>
                <w:rFonts w:eastAsia="宋体" w:cs="宋体" w:ascii="宋体" w:hAnsi="宋体"/>
                <w:position w:val="0"/>
                <w:sz w:val="21"/>
                <w:sz w:val="21"/>
                <w:vertAlign w:val="baseline"/>
                <w:lang w:val="en-US" w:eastAsia="zh-CN"/>
              </w:rPr>
              <w:t>Conforming to Standard GB/T 26514-2011</w:t>
            </w:r>
          </w:p>
        </w:tc>
      </w:tr>
    </w:tbl>
    <w:p>
      <w:pPr>
        <w:pStyle w:val="Normal"/>
        <w:jc w:val="left"/>
        <w:rPr>
          <w:rFonts w:ascii="宋体" w:hAnsi="宋体" w:eastAsia="宋体" w:cs="宋体"/>
          <w:lang w:val="en-US" w:eastAsia="zh-CN"/>
        </w:rPr>
      </w:pPr>
      <w:r>
        <w:rPr>
          <w:rFonts w:eastAsia="宋体" w:cs="宋体" w:ascii="宋体" w:hAnsi="宋体"/>
          <w:lang w:val="en-US" w:eastAsia="zh-CN"/>
        </w:rPr>
      </w:r>
    </w:p>
    <w:p>
      <w:pPr>
        <w:pStyle w:val="Normal"/>
        <w:jc w:val="left"/>
        <w:rPr>
          <w:lang w:val="en-US" w:eastAsia="zh-CN"/>
        </w:rPr>
      </w:pPr>
      <w:r>
        <w:rPr/>
        <w:drawing>
          <wp:inline distT="0" distB="0" distL="0" distR="0">
            <wp:extent cx="5273040" cy="1200785"/>
            <wp:effectExtent l="0" t="0" r="0" b="0"/>
            <wp:docPr id="1" name="图片 1" descr="最新厂检 -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最新厂检 - 副本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800" w:right="1800" w:gutter="0" w:header="851" w:top="1440" w:footer="0" w:bottom="144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宋体">
    <w:charset w:val="01"/>
    <w:family w:val="roman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b/>
        <w:bCs/>
        <w:sz w:val="44"/>
        <w:szCs w:val="44"/>
        <w:lang w:val="en-US" w:eastAsia="zh-CN"/>
      </w:rPr>
    </w:pPr>
    <w:r>
      <w:rPr>
        <w:rFonts w:eastAsia="Noto Serif CJK JP"/>
        <w:b/>
        <w:bCs/>
        <w:sz w:val="44"/>
        <w:szCs w:val="44"/>
        <w:lang w:val="en-US" w:eastAsia="zh-CN"/>
      </w:rPr>
      <w:t>合同会社フェニックス</w:t>
    </w:r>
  </w:p>
  <w:p>
    <w:pPr>
      <w:pStyle w:val="Normal"/>
      <w:pBdr>
        <w:bottom w:val="double" w:sz="8" w:space="0" w:color="000000"/>
      </w:pBdr>
      <w:jc w:val="center"/>
      <w:rPr>
        <w:rFonts w:eastAsia="" w:eastAsiaTheme="minorEastAsia"/>
        <w:lang w:eastAsia="zh-CN"/>
      </w:rPr>
    </w:pPr>
    <w:r>
      <w:rPr>
        <w:rFonts w:eastAsia="Noto Serif CJK JP" w:cs="Liberation Serif" w:ascii="Liberation Serif" w:hAnsi="Liberation Serif"/>
        <w:b/>
        <w:bCs/>
        <w:sz w:val="44"/>
        <w:szCs w:val="44"/>
        <w:lang w:val="en-US" w:eastAsia="zh-CN"/>
      </w:rPr>
      <w:t>FVNIX LLC.</w:t>
    </w:r>
    <w:r>
      <w:rPr>
        <w:rFonts w:cs="Arial" w:ascii="Arial" w:hAnsi="Arial"/>
        <w:sz w:val="24"/>
      </w:rPr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b/>
        <w:bCs/>
        <w:sz w:val="44"/>
        <w:szCs w:val="44"/>
        <w:lang w:val="en-US" w:eastAsia="zh-CN"/>
      </w:rPr>
    </w:pPr>
    <w:r>
      <w:rPr>
        <w:rFonts w:eastAsia="Noto Serif CJK JP"/>
        <w:b/>
        <w:bCs/>
        <w:sz w:val="44"/>
        <w:szCs w:val="44"/>
        <w:lang w:val="en-US" w:eastAsia="zh-CN"/>
      </w:rPr>
      <w:t>合同会社フェニックス</w:t>
    </w:r>
  </w:p>
  <w:p>
    <w:pPr>
      <w:pStyle w:val="Normal"/>
      <w:pBdr>
        <w:bottom w:val="double" w:sz="8" w:space="0" w:color="000000"/>
      </w:pBdr>
      <w:jc w:val="center"/>
      <w:rPr>
        <w:rFonts w:eastAsia="" w:eastAsiaTheme="minorEastAsia"/>
        <w:lang w:eastAsia="zh-CN"/>
      </w:rPr>
    </w:pPr>
    <w:r>
      <w:rPr>
        <w:rFonts w:eastAsia="Noto Serif CJK JP" w:cs="Liberation Serif" w:ascii="Liberation Serif" w:hAnsi="Liberation Serif"/>
        <w:b/>
        <w:bCs/>
        <w:sz w:val="44"/>
        <w:szCs w:val="44"/>
        <w:lang w:val="en-US" w:eastAsia="zh-CN"/>
      </w:rPr>
      <w:t>FVNIX LLC.</w:t>
    </w:r>
    <w:r>
      <w:rPr>
        <w:rFonts w:cs="Arial" w:ascii="Arial" w:hAnsi="Arial"/>
        <w:sz w:val="24"/>
      </w:rPr>
      <w:tab/>
    </w:r>
  </w:p>
</w:hdr>
</file>

<file path=word/settings.xml><?xml version="1.0" encoding="utf-8"?>
<w:settings xmlns:w="http://schemas.openxmlformats.org/wordprocessingml/2006/main">
  <w:zoom w:percent="100"/>
  <w:embedSystemFonts/>
  <w:defaultTabStop w:val="42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  <w:docVars>
    <w:docVar w:name="commondata" w:val="eyJoZGlkIjoiMzIwMTc5YTc4ZWQyZDc5ZjU2NTU5YjUxZjA4MDQxMWIifQ==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Times New Roman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 w:qFormat="1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before="0" w:after="0"/>
      <w:jc w:val="both"/>
    </w:pPr>
    <w:rPr>
      <w:rFonts w:ascii="Calibri" w:hAnsi="Calibri" w:eastAsia="" w:cs="" w:asciiTheme="minorHAnsi" w:cstheme="minorBidi" w:eastAsiaTheme="minorEastAsia" w:hAnsiTheme="minorHAnsi"/>
      <w:color w:val="auto"/>
      <w:kern w:val="2"/>
      <w:sz w:val="21"/>
      <w:szCs w:val="24"/>
      <w:lang w:val="en-US" w:eastAsia="zh-CN" w:bidi="ar-SA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Strong">
    <w:name w:val="Strong"/>
    <w:basedOn w:val="DefaultParagraphFont"/>
    <w:uiPriority w:val="0"/>
    <w:qFormat/>
    <w:rPr>
      <w:b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</w:rPr>
  </w:style>
  <w:style w:type="paragraph" w:styleId="Header">
    <w:name w:val="head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  <w:spacing w:lineRule="auto" w:line="240"/>
      <w:jc w:val="both"/>
    </w:pPr>
    <w:rPr>
      <w:sz w:val="18"/>
    </w:rPr>
  </w:style>
  <w:style w:type="table" w:default="1" w:styleId="4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qFormat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LibreOffice/25.2.3.2$Linux_X86_64 LibreOffice_project/520$Build-2</Application>
  <AppVersion>15.0000</AppVersion>
  <Pages>1</Pages>
  <Words>201</Words>
  <Characters>682</Characters>
  <CharactersWithSpaces>720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2023-04-23T08:35:00Z</dcterms:created>
  <dc:creator>Winnie</dc:creator>
  <dc:description/>
  <dc:language>en-US</dc:language>
  <cp:lastModifiedBy/>
  <dcterms:modified xsi:type="dcterms:W3CDTF">2026-04-13T09:36:11Z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DC15D6C7421B4B28B438C20790E9F8AF_11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eyJoZGlkIjoiMzIwMTc5YTc4ZWQyZDc5ZjU2NTU5YjUxZjA4MDQxMWIiLCJ1c2VySWQiOiIxMzM4ODc0NjE5In0=</vt:lpwstr>
  </property>
</Properties>
</file>